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428"/>
        <w:gridCol w:w="4428"/>
      </w:tblGrid>
      <w:tr w:rsidR="00255E1A" w:rsidRPr="005B7794" w14:paraId="312D87D2" w14:textId="77777777" w:rsidTr="00255E1A">
        <w:tc>
          <w:tcPr>
            <w:tcW w:w="4428" w:type="dxa"/>
          </w:tcPr>
          <w:p w14:paraId="11411A96" w14:textId="77777777" w:rsidR="00255E1A" w:rsidRPr="005B7794" w:rsidRDefault="00D33F60" w:rsidP="00255E1A">
            <w:pPr>
              <w:jc w:val="center"/>
              <w:rPr>
                <w:sz w:val="20"/>
                <w:szCs w:val="20"/>
              </w:rPr>
            </w:pPr>
            <w:r w:rsidRPr="005B7794">
              <w:rPr>
                <w:sz w:val="20"/>
                <w:szCs w:val="20"/>
              </w:rPr>
              <w:t>Time</w:t>
            </w:r>
          </w:p>
        </w:tc>
        <w:tc>
          <w:tcPr>
            <w:tcW w:w="4428" w:type="dxa"/>
          </w:tcPr>
          <w:p w14:paraId="09A59ABA" w14:textId="77777777" w:rsidR="00255E1A" w:rsidRPr="005B7794" w:rsidRDefault="00D33F60" w:rsidP="00255E1A">
            <w:pPr>
              <w:jc w:val="center"/>
              <w:rPr>
                <w:sz w:val="20"/>
                <w:szCs w:val="20"/>
              </w:rPr>
            </w:pPr>
            <w:r w:rsidRPr="005B7794">
              <w:rPr>
                <w:sz w:val="20"/>
                <w:szCs w:val="20"/>
              </w:rPr>
              <w:t>Dissolved Oxygen</w:t>
            </w:r>
            <w:r w:rsidR="00FD751C" w:rsidRPr="005B7794">
              <w:rPr>
                <w:sz w:val="20"/>
                <w:szCs w:val="20"/>
              </w:rPr>
              <w:t xml:space="preserve"> (mg/L)</w:t>
            </w:r>
          </w:p>
        </w:tc>
      </w:tr>
      <w:tr w:rsidR="00D33F60" w:rsidRPr="005B7794" w14:paraId="0EEDCC57" w14:textId="77777777" w:rsidTr="00255E1A">
        <w:tc>
          <w:tcPr>
            <w:tcW w:w="4428" w:type="dxa"/>
          </w:tcPr>
          <w:p w14:paraId="3AC04A3F" w14:textId="77777777" w:rsidR="00D33F60" w:rsidRPr="005B7794" w:rsidRDefault="00D33F60" w:rsidP="005E29E8">
            <w:pPr>
              <w:jc w:val="center"/>
              <w:rPr>
                <w:sz w:val="20"/>
                <w:szCs w:val="20"/>
              </w:rPr>
            </w:pPr>
            <w:r w:rsidRPr="005B7794">
              <w:rPr>
                <w:sz w:val="20"/>
                <w:szCs w:val="20"/>
              </w:rPr>
              <w:t>1 week</w:t>
            </w:r>
          </w:p>
        </w:tc>
        <w:tc>
          <w:tcPr>
            <w:tcW w:w="4428" w:type="dxa"/>
          </w:tcPr>
          <w:p w14:paraId="7DED2D3F" w14:textId="77777777" w:rsidR="00D33F60" w:rsidRPr="005B7794" w:rsidRDefault="00FD751C" w:rsidP="00255E1A">
            <w:pPr>
              <w:jc w:val="center"/>
              <w:rPr>
                <w:sz w:val="20"/>
                <w:szCs w:val="20"/>
              </w:rPr>
            </w:pPr>
            <w:r w:rsidRPr="005B7794">
              <w:rPr>
                <w:sz w:val="20"/>
                <w:szCs w:val="20"/>
              </w:rPr>
              <w:t>8.6</w:t>
            </w:r>
          </w:p>
        </w:tc>
      </w:tr>
      <w:tr w:rsidR="00D33F60" w:rsidRPr="005B7794" w14:paraId="5CE0F606" w14:textId="77777777" w:rsidTr="00255E1A">
        <w:tc>
          <w:tcPr>
            <w:tcW w:w="4428" w:type="dxa"/>
          </w:tcPr>
          <w:p w14:paraId="53C4E239" w14:textId="77777777" w:rsidR="00D33F60" w:rsidRPr="005B7794" w:rsidRDefault="00D33F60" w:rsidP="005E29E8">
            <w:pPr>
              <w:jc w:val="center"/>
              <w:rPr>
                <w:sz w:val="20"/>
                <w:szCs w:val="20"/>
              </w:rPr>
            </w:pPr>
            <w:r w:rsidRPr="005B7794">
              <w:rPr>
                <w:sz w:val="20"/>
                <w:szCs w:val="20"/>
              </w:rPr>
              <w:t>2 weeks</w:t>
            </w:r>
          </w:p>
        </w:tc>
        <w:tc>
          <w:tcPr>
            <w:tcW w:w="4428" w:type="dxa"/>
          </w:tcPr>
          <w:p w14:paraId="43277C86" w14:textId="77777777" w:rsidR="00D33F60" w:rsidRPr="005B7794" w:rsidRDefault="00FD751C" w:rsidP="00255E1A">
            <w:pPr>
              <w:jc w:val="center"/>
              <w:rPr>
                <w:sz w:val="20"/>
                <w:szCs w:val="20"/>
              </w:rPr>
            </w:pPr>
            <w:r w:rsidRPr="005B7794">
              <w:rPr>
                <w:sz w:val="20"/>
                <w:szCs w:val="20"/>
              </w:rPr>
              <w:t>8.6</w:t>
            </w:r>
          </w:p>
        </w:tc>
      </w:tr>
      <w:tr w:rsidR="00D33F60" w:rsidRPr="005B7794" w14:paraId="5C063C08" w14:textId="77777777" w:rsidTr="00255E1A">
        <w:tc>
          <w:tcPr>
            <w:tcW w:w="4428" w:type="dxa"/>
          </w:tcPr>
          <w:p w14:paraId="3D4B19C0" w14:textId="77777777" w:rsidR="00D33F60" w:rsidRPr="005B7794" w:rsidRDefault="00D33F60" w:rsidP="005E29E8">
            <w:pPr>
              <w:jc w:val="center"/>
              <w:rPr>
                <w:sz w:val="20"/>
                <w:szCs w:val="20"/>
              </w:rPr>
            </w:pPr>
            <w:r w:rsidRPr="005B7794">
              <w:rPr>
                <w:sz w:val="20"/>
                <w:szCs w:val="20"/>
              </w:rPr>
              <w:t>3 weeks</w:t>
            </w:r>
          </w:p>
        </w:tc>
        <w:tc>
          <w:tcPr>
            <w:tcW w:w="4428" w:type="dxa"/>
          </w:tcPr>
          <w:p w14:paraId="05279EDD" w14:textId="41ACE1C9" w:rsidR="00D33F60" w:rsidRPr="005B7794" w:rsidRDefault="00E271D9" w:rsidP="00255E1A">
            <w:pPr>
              <w:jc w:val="center"/>
              <w:rPr>
                <w:sz w:val="20"/>
                <w:szCs w:val="20"/>
              </w:rPr>
            </w:pPr>
            <w:r w:rsidRPr="005B7794">
              <w:rPr>
                <w:sz w:val="20"/>
                <w:szCs w:val="20"/>
              </w:rPr>
              <w:t>9.2</w:t>
            </w:r>
          </w:p>
        </w:tc>
        <w:bookmarkStart w:id="0" w:name="_GoBack"/>
        <w:bookmarkEnd w:id="0"/>
      </w:tr>
      <w:tr w:rsidR="00D33F60" w:rsidRPr="005B7794" w14:paraId="5393861E" w14:textId="77777777" w:rsidTr="00255E1A">
        <w:tc>
          <w:tcPr>
            <w:tcW w:w="4428" w:type="dxa"/>
          </w:tcPr>
          <w:p w14:paraId="7639DE23" w14:textId="77777777" w:rsidR="00D33F60" w:rsidRPr="005B7794" w:rsidRDefault="00D33F60" w:rsidP="005E29E8">
            <w:pPr>
              <w:jc w:val="center"/>
              <w:rPr>
                <w:sz w:val="20"/>
                <w:szCs w:val="20"/>
              </w:rPr>
            </w:pPr>
            <w:r w:rsidRPr="005B7794">
              <w:rPr>
                <w:sz w:val="20"/>
                <w:szCs w:val="20"/>
              </w:rPr>
              <w:t>4 weeks</w:t>
            </w:r>
          </w:p>
        </w:tc>
        <w:tc>
          <w:tcPr>
            <w:tcW w:w="4428" w:type="dxa"/>
          </w:tcPr>
          <w:p w14:paraId="250BDFC0" w14:textId="5DB25F17" w:rsidR="00D33F60" w:rsidRPr="005B7794" w:rsidRDefault="00B8027F" w:rsidP="00255E1A">
            <w:pPr>
              <w:jc w:val="center"/>
              <w:rPr>
                <w:sz w:val="20"/>
                <w:szCs w:val="20"/>
              </w:rPr>
            </w:pPr>
            <w:r w:rsidRPr="005B7794">
              <w:rPr>
                <w:sz w:val="20"/>
                <w:szCs w:val="20"/>
              </w:rPr>
              <w:t>3.0</w:t>
            </w:r>
          </w:p>
        </w:tc>
      </w:tr>
      <w:tr w:rsidR="00D33F60" w:rsidRPr="005B7794" w14:paraId="00435381" w14:textId="77777777" w:rsidTr="00255E1A">
        <w:tc>
          <w:tcPr>
            <w:tcW w:w="4428" w:type="dxa"/>
          </w:tcPr>
          <w:p w14:paraId="5D8CFDAB" w14:textId="77777777" w:rsidR="00D33F60" w:rsidRPr="005B7794" w:rsidRDefault="00D33F60" w:rsidP="005E29E8">
            <w:pPr>
              <w:jc w:val="center"/>
              <w:rPr>
                <w:sz w:val="20"/>
                <w:szCs w:val="20"/>
              </w:rPr>
            </w:pPr>
            <w:r w:rsidRPr="005B7794">
              <w:rPr>
                <w:sz w:val="20"/>
                <w:szCs w:val="20"/>
              </w:rPr>
              <w:t>5 weeks</w:t>
            </w:r>
          </w:p>
        </w:tc>
        <w:tc>
          <w:tcPr>
            <w:tcW w:w="4428" w:type="dxa"/>
          </w:tcPr>
          <w:p w14:paraId="04EC81FC" w14:textId="0154565A" w:rsidR="00D33F60" w:rsidRPr="005B7794" w:rsidRDefault="00B8027F" w:rsidP="00255E1A">
            <w:pPr>
              <w:jc w:val="center"/>
              <w:rPr>
                <w:sz w:val="20"/>
                <w:szCs w:val="20"/>
              </w:rPr>
            </w:pPr>
            <w:r w:rsidRPr="005B7794">
              <w:rPr>
                <w:sz w:val="20"/>
                <w:szCs w:val="20"/>
              </w:rPr>
              <w:t>1.0</w:t>
            </w:r>
          </w:p>
        </w:tc>
      </w:tr>
    </w:tbl>
    <w:p w14:paraId="697CBD38" w14:textId="77777777" w:rsidR="00255E1A" w:rsidRPr="005B7794" w:rsidRDefault="00255E1A" w:rsidP="00B8027F">
      <w:pPr>
        <w:rPr>
          <w:sz w:val="20"/>
          <w:szCs w:val="20"/>
        </w:rPr>
      </w:pPr>
    </w:p>
    <w:p w14:paraId="717402AE" w14:textId="77777777" w:rsidR="00255E1A" w:rsidRPr="005B7794" w:rsidRDefault="00255E1A" w:rsidP="00255E1A">
      <w:pPr>
        <w:jc w:val="center"/>
        <w:rPr>
          <w:sz w:val="20"/>
          <w:szCs w:val="20"/>
        </w:rPr>
      </w:pPr>
    </w:p>
    <w:tbl>
      <w:tblPr>
        <w:tblStyle w:val="TableGrid"/>
        <w:tblW w:w="0" w:type="auto"/>
        <w:tblLook w:val="04A0" w:firstRow="1" w:lastRow="0" w:firstColumn="1" w:lastColumn="0" w:noHBand="0" w:noVBand="1"/>
      </w:tblPr>
      <w:tblGrid>
        <w:gridCol w:w="4428"/>
        <w:gridCol w:w="4428"/>
      </w:tblGrid>
      <w:tr w:rsidR="00255E1A" w:rsidRPr="005B7794" w14:paraId="143451CF" w14:textId="77777777" w:rsidTr="00255E1A">
        <w:tc>
          <w:tcPr>
            <w:tcW w:w="4428" w:type="dxa"/>
          </w:tcPr>
          <w:p w14:paraId="0A97B849" w14:textId="77777777" w:rsidR="00255E1A" w:rsidRPr="005B7794" w:rsidRDefault="00D33F60" w:rsidP="00255E1A">
            <w:pPr>
              <w:jc w:val="center"/>
              <w:rPr>
                <w:sz w:val="20"/>
                <w:szCs w:val="20"/>
              </w:rPr>
            </w:pPr>
            <w:r w:rsidRPr="005B7794">
              <w:rPr>
                <w:sz w:val="20"/>
                <w:szCs w:val="20"/>
              </w:rPr>
              <w:t>Time</w:t>
            </w:r>
          </w:p>
        </w:tc>
        <w:tc>
          <w:tcPr>
            <w:tcW w:w="4428" w:type="dxa"/>
          </w:tcPr>
          <w:p w14:paraId="798591B9" w14:textId="77777777" w:rsidR="00255E1A" w:rsidRPr="005B7794" w:rsidRDefault="00D33F60" w:rsidP="00255E1A">
            <w:pPr>
              <w:jc w:val="center"/>
              <w:rPr>
                <w:sz w:val="20"/>
                <w:szCs w:val="20"/>
              </w:rPr>
            </w:pPr>
            <w:r w:rsidRPr="005B7794">
              <w:rPr>
                <w:sz w:val="20"/>
                <w:szCs w:val="20"/>
              </w:rPr>
              <w:t>Amount of Algae</w:t>
            </w:r>
          </w:p>
        </w:tc>
      </w:tr>
      <w:tr w:rsidR="00255E1A" w:rsidRPr="005B7794" w14:paraId="74C61BE3" w14:textId="77777777" w:rsidTr="00255E1A">
        <w:tc>
          <w:tcPr>
            <w:tcW w:w="4428" w:type="dxa"/>
          </w:tcPr>
          <w:p w14:paraId="36331F62" w14:textId="77777777" w:rsidR="00255E1A" w:rsidRPr="005B7794" w:rsidRDefault="00D33F60" w:rsidP="00255E1A">
            <w:pPr>
              <w:jc w:val="center"/>
              <w:rPr>
                <w:sz w:val="20"/>
                <w:szCs w:val="20"/>
              </w:rPr>
            </w:pPr>
            <w:r w:rsidRPr="005B7794">
              <w:rPr>
                <w:sz w:val="20"/>
                <w:szCs w:val="20"/>
              </w:rPr>
              <w:t>1 week</w:t>
            </w:r>
          </w:p>
        </w:tc>
        <w:tc>
          <w:tcPr>
            <w:tcW w:w="4428" w:type="dxa"/>
          </w:tcPr>
          <w:p w14:paraId="6247BA62" w14:textId="77777777" w:rsidR="00255E1A" w:rsidRPr="005B7794" w:rsidRDefault="00D33F60" w:rsidP="00255E1A">
            <w:pPr>
              <w:jc w:val="center"/>
              <w:rPr>
                <w:sz w:val="20"/>
                <w:szCs w:val="20"/>
              </w:rPr>
            </w:pPr>
            <w:r w:rsidRPr="005B7794">
              <w:rPr>
                <w:sz w:val="20"/>
                <w:szCs w:val="20"/>
              </w:rPr>
              <w:t>10 g</w:t>
            </w:r>
          </w:p>
        </w:tc>
      </w:tr>
      <w:tr w:rsidR="00255E1A" w:rsidRPr="005B7794" w14:paraId="6168EE19" w14:textId="77777777" w:rsidTr="00255E1A">
        <w:tc>
          <w:tcPr>
            <w:tcW w:w="4428" w:type="dxa"/>
          </w:tcPr>
          <w:p w14:paraId="6F28CEF2" w14:textId="77777777" w:rsidR="00255E1A" w:rsidRPr="005B7794" w:rsidRDefault="00D33F60" w:rsidP="00255E1A">
            <w:pPr>
              <w:jc w:val="center"/>
              <w:rPr>
                <w:sz w:val="20"/>
                <w:szCs w:val="20"/>
              </w:rPr>
            </w:pPr>
            <w:r w:rsidRPr="005B7794">
              <w:rPr>
                <w:sz w:val="20"/>
                <w:szCs w:val="20"/>
              </w:rPr>
              <w:t>2 weeks</w:t>
            </w:r>
          </w:p>
        </w:tc>
        <w:tc>
          <w:tcPr>
            <w:tcW w:w="4428" w:type="dxa"/>
          </w:tcPr>
          <w:p w14:paraId="0B9800F2" w14:textId="77777777" w:rsidR="00255E1A" w:rsidRPr="005B7794" w:rsidRDefault="00D33F60" w:rsidP="00255E1A">
            <w:pPr>
              <w:jc w:val="center"/>
              <w:rPr>
                <w:sz w:val="20"/>
                <w:szCs w:val="20"/>
              </w:rPr>
            </w:pPr>
            <w:r w:rsidRPr="005B7794">
              <w:rPr>
                <w:sz w:val="20"/>
                <w:szCs w:val="20"/>
              </w:rPr>
              <w:t>20 g</w:t>
            </w:r>
          </w:p>
        </w:tc>
      </w:tr>
      <w:tr w:rsidR="00255E1A" w:rsidRPr="005B7794" w14:paraId="3CF55769" w14:textId="77777777" w:rsidTr="00255E1A">
        <w:tc>
          <w:tcPr>
            <w:tcW w:w="4428" w:type="dxa"/>
          </w:tcPr>
          <w:p w14:paraId="1183190A" w14:textId="77777777" w:rsidR="00255E1A" w:rsidRPr="005B7794" w:rsidRDefault="00D33F60" w:rsidP="00255E1A">
            <w:pPr>
              <w:jc w:val="center"/>
              <w:rPr>
                <w:sz w:val="20"/>
                <w:szCs w:val="20"/>
              </w:rPr>
            </w:pPr>
            <w:r w:rsidRPr="005B7794">
              <w:rPr>
                <w:sz w:val="20"/>
                <w:szCs w:val="20"/>
              </w:rPr>
              <w:t>3 weeks</w:t>
            </w:r>
          </w:p>
        </w:tc>
        <w:tc>
          <w:tcPr>
            <w:tcW w:w="4428" w:type="dxa"/>
          </w:tcPr>
          <w:p w14:paraId="6D6453F2" w14:textId="77777777" w:rsidR="00255E1A" w:rsidRPr="005B7794" w:rsidRDefault="00D33F60" w:rsidP="00255E1A">
            <w:pPr>
              <w:jc w:val="center"/>
              <w:rPr>
                <w:sz w:val="20"/>
                <w:szCs w:val="20"/>
              </w:rPr>
            </w:pPr>
            <w:r w:rsidRPr="005B7794">
              <w:rPr>
                <w:sz w:val="20"/>
                <w:szCs w:val="20"/>
              </w:rPr>
              <w:t>30 g</w:t>
            </w:r>
          </w:p>
        </w:tc>
      </w:tr>
      <w:tr w:rsidR="00255E1A" w:rsidRPr="005B7794" w14:paraId="10FB5DDD" w14:textId="77777777" w:rsidTr="00255E1A">
        <w:tc>
          <w:tcPr>
            <w:tcW w:w="4428" w:type="dxa"/>
          </w:tcPr>
          <w:p w14:paraId="2B273196" w14:textId="77777777" w:rsidR="00255E1A" w:rsidRPr="005B7794" w:rsidRDefault="00D33F60" w:rsidP="00255E1A">
            <w:pPr>
              <w:jc w:val="center"/>
              <w:rPr>
                <w:sz w:val="20"/>
                <w:szCs w:val="20"/>
              </w:rPr>
            </w:pPr>
            <w:r w:rsidRPr="005B7794">
              <w:rPr>
                <w:sz w:val="20"/>
                <w:szCs w:val="20"/>
              </w:rPr>
              <w:t>4 weeks</w:t>
            </w:r>
          </w:p>
        </w:tc>
        <w:tc>
          <w:tcPr>
            <w:tcW w:w="4428" w:type="dxa"/>
          </w:tcPr>
          <w:p w14:paraId="19A60430" w14:textId="77777777" w:rsidR="00255E1A" w:rsidRPr="005B7794" w:rsidRDefault="00D33F60" w:rsidP="00255E1A">
            <w:pPr>
              <w:jc w:val="center"/>
              <w:rPr>
                <w:sz w:val="20"/>
                <w:szCs w:val="20"/>
              </w:rPr>
            </w:pPr>
            <w:r w:rsidRPr="005B7794">
              <w:rPr>
                <w:sz w:val="20"/>
                <w:szCs w:val="20"/>
              </w:rPr>
              <w:t>10 g</w:t>
            </w:r>
          </w:p>
        </w:tc>
      </w:tr>
      <w:tr w:rsidR="00255E1A" w:rsidRPr="005B7794" w14:paraId="2317758E" w14:textId="77777777" w:rsidTr="00255E1A">
        <w:tc>
          <w:tcPr>
            <w:tcW w:w="4428" w:type="dxa"/>
          </w:tcPr>
          <w:p w14:paraId="164C9226" w14:textId="77777777" w:rsidR="00255E1A" w:rsidRPr="005B7794" w:rsidRDefault="00D33F60" w:rsidP="00255E1A">
            <w:pPr>
              <w:jc w:val="center"/>
              <w:rPr>
                <w:sz w:val="20"/>
                <w:szCs w:val="20"/>
              </w:rPr>
            </w:pPr>
            <w:r w:rsidRPr="005B7794">
              <w:rPr>
                <w:sz w:val="20"/>
                <w:szCs w:val="20"/>
              </w:rPr>
              <w:t>5 weeks</w:t>
            </w:r>
          </w:p>
        </w:tc>
        <w:tc>
          <w:tcPr>
            <w:tcW w:w="4428" w:type="dxa"/>
          </w:tcPr>
          <w:p w14:paraId="128F6B63" w14:textId="77777777" w:rsidR="00255E1A" w:rsidRPr="005B7794" w:rsidRDefault="00D33F60" w:rsidP="00255E1A">
            <w:pPr>
              <w:jc w:val="center"/>
              <w:rPr>
                <w:sz w:val="20"/>
                <w:szCs w:val="20"/>
              </w:rPr>
            </w:pPr>
            <w:r w:rsidRPr="005B7794">
              <w:rPr>
                <w:sz w:val="20"/>
                <w:szCs w:val="20"/>
              </w:rPr>
              <w:t>5 g</w:t>
            </w:r>
          </w:p>
        </w:tc>
      </w:tr>
    </w:tbl>
    <w:p w14:paraId="56059217" w14:textId="77777777" w:rsidR="00255E1A" w:rsidRDefault="00255E1A" w:rsidP="00255E1A">
      <w:pPr>
        <w:jc w:val="center"/>
      </w:pPr>
    </w:p>
    <w:p w14:paraId="62497D87" w14:textId="77777777" w:rsidR="005B7794" w:rsidRDefault="005B7794" w:rsidP="005B7794"/>
    <w:p w14:paraId="38618F7E" w14:textId="77777777" w:rsidR="005B7794" w:rsidRPr="00753681" w:rsidRDefault="005B7794" w:rsidP="00255E1A">
      <w:pPr>
        <w:jc w:val="center"/>
        <w:rPr>
          <w:sz w:val="18"/>
          <w:szCs w:val="18"/>
        </w:rPr>
      </w:pPr>
    </w:p>
    <w:p w14:paraId="76B8CFA7" w14:textId="51C25476" w:rsidR="005B7794" w:rsidRPr="00753681" w:rsidRDefault="005B7794" w:rsidP="005B7794">
      <w:pPr>
        <w:rPr>
          <w:sz w:val="18"/>
          <w:szCs w:val="18"/>
        </w:rPr>
      </w:pPr>
      <w:r w:rsidRPr="00753681">
        <w:rPr>
          <w:sz w:val="18"/>
          <w:szCs w:val="18"/>
        </w:rPr>
        <w:t>1) What relationship do you notice between the amount of algae and the amount of dissolved oxygen?</w:t>
      </w:r>
    </w:p>
    <w:p w14:paraId="29FD8FBC" w14:textId="77777777" w:rsidR="005B7794" w:rsidRPr="00753681" w:rsidRDefault="005B7794" w:rsidP="005B7794">
      <w:pPr>
        <w:rPr>
          <w:sz w:val="18"/>
          <w:szCs w:val="18"/>
        </w:rPr>
      </w:pPr>
    </w:p>
    <w:p w14:paraId="272F08E3" w14:textId="77777777" w:rsidR="005B7794" w:rsidRPr="00753681" w:rsidRDefault="005B7794" w:rsidP="005B7794">
      <w:pPr>
        <w:rPr>
          <w:sz w:val="18"/>
          <w:szCs w:val="18"/>
        </w:rPr>
      </w:pPr>
    </w:p>
    <w:p w14:paraId="5274B405" w14:textId="77777777" w:rsidR="005B7794" w:rsidRPr="00753681" w:rsidRDefault="005B7794" w:rsidP="005B7794">
      <w:pPr>
        <w:rPr>
          <w:sz w:val="18"/>
          <w:szCs w:val="18"/>
        </w:rPr>
      </w:pPr>
    </w:p>
    <w:p w14:paraId="622B0F90" w14:textId="77777777" w:rsidR="005B7794" w:rsidRPr="00753681" w:rsidRDefault="005B7794" w:rsidP="005B7794">
      <w:pPr>
        <w:rPr>
          <w:sz w:val="18"/>
          <w:szCs w:val="18"/>
        </w:rPr>
      </w:pPr>
    </w:p>
    <w:p w14:paraId="2900E8CC" w14:textId="77777777" w:rsidR="005B7794" w:rsidRPr="00753681" w:rsidRDefault="005B7794" w:rsidP="005B7794">
      <w:pPr>
        <w:rPr>
          <w:sz w:val="18"/>
          <w:szCs w:val="18"/>
        </w:rPr>
      </w:pPr>
    </w:p>
    <w:p w14:paraId="0D3D59C2" w14:textId="77777777" w:rsidR="005B7794" w:rsidRPr="00753681" w:rsidRDefault="005B7794" w:rsidP="005B7794">
      <w:pPr>
        <w:rPr>
          <w:sz w:val="18"/>
          <w:szCs w:val="18"/>
        </w:rPr>
      </w:pPr>
    </w:p>
    <w:p w14:paraId="22EF99A7" w14:textId="77777777" w:rsidR="005B7794" w:rsidRPr="00753681" w:rsidRDefault="005B7794" w:rsidP="005B7794">
      <w:pPr>
        <w:rPr>
          <w:sz w:val="18"/>
          <w:szCs w:val="18"/>
        </w:rPr>
      </w:pPr>
    </w:p>
    <w:p w14:paraId="5CE65057" w14:textId="77777777" w:rsidR="005B7794" w:rsidRPr="00753681" w:rsidRDefault="005B7794" w:rsidP="005B7794">
      <w:pPr>
        <w:rPr>
          <w:sz w:val="18"/>
          <w:szCs w:val="18"/>
        </w:rPr>
      </w:pPr>
    </w:p>
    <w:p w14:paraId="0AA50E0C" w14:textId="77777777" w:rsidR="005B7794" w:rsidRPr="00753681" w:rsidRDefault="005B7794" w:rsidP="005B7794">
      <w:pPr>
        <w:rPr>
          <w:sz w:val="18"/>
          <w:szCs w:val="18"/>
        </w:rPr>
      </w:pPr>
    </w:p>
    <w:p w14:paraId="7918A02C" w14:textId="0EE1F33E" w:rsidR="005B7794" w:rsidRPr="00753681" w:rsidRDefault="005B7794" w:rsidP="005B7794">
      <w:pPr>
        <w:rPr>
          <w:sz w:val="18"/>
          <w:szCs w:val="18"/>
        </w:rPr>
      </w:pPr>
      <w:r w:rsidRPr="00753681">
        <w:rPr>
          <w:sz w:val="18"/>
          <w:szCs w:val="18"/>
        </w:rPr>
        <w:t>2) What do you think is the reason for this relationship?</w:t>
      </w:r>
    </w:p>
    <w:p w14:paraId="7F7FDE4F" w14:textId="77777777" w:rsidR="005B7794" w:rsidRPr="00753681" w:rsidRDefault="005B7794" w:rsidP="005B7794">
      <w:pPr>
        <w:rPr>
          <w:sz w:val="18"/>
          <w:szCs w:val="18"/>
        </w:rPr>
      </w:pPr>
    </w:p>
    <w:p w14:paraId="67808AB0" w14:textId="77777777" w:rsidR="005B7794" w:rsidRPr="00753681" w:rsidRDefault="005B7794" w:rsidP="005B7794">
      <w:pPr>
        <w:rPr>
          <w:sz w:val="18"/>
          <w:szCs w:val="18"/>
        </w:rPr>
      </w:pPr>
    </w:p>
    <w:p w14:paraId="495563DE" w14:textId="77777777" w:rsidR="005B7794" w:rsidRPr="00753681" w:rsidRDefault="005B7794" w:rsidP="005B7794">
      <w:pPr>
        <w:rPr>
          <w:sz w:val="18"/>
          <w:szCs w:val="18"/>
        </w:rPr>
      </w:pPr>
    </w:p>
    <w:p w14:paraId="5A673B16" w14:textId="77777777" w:rsidR="00D96224" w:rsidRPr="00753681" w:rsidRDefault="00D96224" w:rsidP="005B7794">
      <w:pPr>
        <w:rPr>
          <w:sz w:val="18"/>
          <w:szCs w:val="18"/>
        </w:rPr>
      </w:pPr>
    </w:p>
    <w:p w14:paraId="4552B008" w14:textId="77777777" w:rsidR="00D96224" w:rsidRPr="00753681" w:rsidRDefault="00D96224" w:rsidP="005B7794">
      <w:pPr>
        <w:rPr>
          <w:sz w:val="18"/>
          <w:szCs w:val="18"/>
        </w:rPr>
      </w:pPr>
    </w:p>
    <w:p w14:paraId="09E219EA" w14:textId="77777777" w:rsidR="00D96224" w:rsidRPr="00753681" w:rsidRDefault="00D96224" w:rsidP="005B7794">
      <w:pPr>
        <w:rPr>
          <w:sz w:val="18"/>
          <w:szCs w:val="18"/>
        </w:rPr>
      </w:pPr>
    </w:p>
    <w:p w14:paraId="1037F21C" w14:textId="77777777" w:rsidR="00D96224" w:rsidRPr="00753681" w:rsidRDefault="00D96224" w:rsidP="005B7794">
      <w:pPr>
        <w:rPr>
          <w:sz w:val="18"/>
          <w:szCs w:val="18"/>
        </w:rPr>
      </w:pPr>
    </w:p>
    <w:p w14:paraId="4D4FCF6C" w14:textId="55D2E689" w:rsidR="00D96224" w:rsidRPr="00753681" w:rsidRDefault="00D96224" w:rsidP="005B7794">
      <w:pPr>
        <w:rPr>
          <w:b/>
          <w:sz w:val="18"/>
          <w:szCs w:val="18"/>
        </w:rPr>
      </w:pPr>
      <w:r w:rsidRPr="00753681">
        <w:rPr>
          <w:b/>
          <w:sz w:val="18"/>
          <w:szCs w:val="18"/>
        </w:rPr>
        <w:t>Eutrophication Video Notes:</w:t>
      </w:r>
    </w:p>
    <w:p w14:paraId="09D5455E" w14:textId="245FCA56" w:rsidR="00D96224" w:rsidRPr="00753681" w:rsidRDefault="00D96224" w:rsidP="005B7794">
      <w:pPr>
        <w:rPr>
          <w:sz w:val="18"/>
          <w:szCs w:val="18"/>
        </w:rPr>
      </w:pPr>
      <w:r w:rsidRPr="00753681">
        <w:rPr>
          <w:sz w:val="18"/>
          <w:szCs w:val="18"/>
        </w:rPr>
        <w:t>1) What are the sources of excess nutrients in the Gulf o Mexico Dead Zone?</w:t>
      </w:r>
    </w:p>
    <w:p w14:paraId="6BE524FF" w14:textId="77777777" w:rsidR="005B7794" w:rsidRPr="00753681" w:rsidRDefault="005B7794" w:rsidP="005B7794">
      <w:pPr>
        <w:rPr>
          <w:sz w:val="18"/>
          <w:szCs w:val="18"/>
        </w:rPr>
      </w:pPr>
    </w:p>
    <w:p w14:paraId="50C93350" w14:textId="77777777" w:rsidR="005B7794" w:rsidRPr="00753681" w:rsidRDefault="005B7794" w:rsidP="005B7794">
      <w:pPr>
        <w:rPr>
          <w:sz w:val="18"/>
          <w:szCs w:val="18"/>
        </w:rPr>
      </w:pPr>
    </w:p>
    <w:p w14:paraId="255A8EAE" w14:textId="77777777" w:rsidR="0009241A" w:rsidRPr="00753681" w:rsidRDefault="0009241A" w:rsidP="005B7794">
      <w:pPr>
        <w:rPr>
          <w:sz w:val="18"/>
          <w:szCs w:val="18"/>
        </w:rPr>
      </w:pPr>
    </w:p>
    <w:p w14:paraId="117A56A4" w14:textId="77777777" w:rsidR="009C4836" w:rsidRDefault="009C4836" w:rsidP="005B7794">
      <w:pPr>
        <w:rPr>
          <w:sz w:val="18"/>
          <w:szCs w:val="18"/>
        </w:rPr>
      </w:pPr>
    </w:p>
    <w:p w14:paraId="027EA9C6" w14:textId="77777777" w:rsidR="00753681" w:rsidRPr="00753681" w:rsidRDefault="00753681" w:rsidP="005B7794">
      <w:pPr>
        <w:rPr>
          <w:sz w:val="18"/>
          <w:szCs w:val="18"/>
        </w:rPr>
      </w:pPr>
    </w:p>
    <w:p w14:paraId="1D5A9970" w14:textId="6C64DD20" w:rsidR="009C4836" w:rsidRPr="00753681" w:rsidRDefault="009C4836" w:rsidP="005B7794">
      <w:pPr>
        <w:rPr>
          <w:sz w:val="18"/>
          <w:szCs w:val="18"/>
        </w:rPr>
      </w:pPr>
      <w:proofErr w:type="gramStart"/>
      <w:r w:rsidRPr="00753681">
        <w:rPr>
          <w:sz w:val="18"/>
          <w:szCs w:val="18"/>
        </w:rPr>
        <w:t>2)  Is</w:t>
      </w:r>
      <w:proofErr w:type="gramEnd"/>
      <w:r w:rsidRPr="00753681">
        <w:rPr>
          <w:sz w:val="18"/>
          <w:szCs w:val="18"/>
        </w:rPr>
        <w:t xml:space="preserve"> the EPA regulating pollutants that can cause dead zones?</w:t>
      </w:r>
    </w:p>
    <w:p w14:paraId="1E207B2F" w14:textId="77777777" w:rsidR="0009241A" w:rsidRPr="00753681" w:rsidRDefault="0009241A" w:rsidP="005B7794">
      <w:pPr>
        <w:rPr>
          <w:sz w:val="18"/>
          <w:szCs w:val="18"/>
        </w:rPr>
      </w:pPr>
    </w:p>
    <w:p w14:paraId="5F2288F9" w14:textId="77777777" w:rsidR="0009241A" w:rsidRPr="00753681" w:rsidRDefault="0009241A" w:rsidP="005B7794">
      <w:pPr>
        <w:rPr>
          <w:sz w:val="18"/>
          <w:szCs w:val="18"/>
        </w:rPr>
      </w:pPr>
    </w:p>
    <w:p w14:paraId="737AE6E6" w14:textId="77777777" w:rsidR="0009241A" w:rsidRPr="00753681" w:rsidRDefault="0009241A" w:rsidP="005B7794">
      <w:pPr>
        <w:rPr>
          <w:sz w:val="18"/>
          <w:szCs w:val="18"/>
        </w:rPr>
      </w:pPr>
    </w:p>
    <w:p w14:paraId="4CF90BFA" w14:textId="77777777" w:rsidR="0009241A" w:rsidRPr="00753681" w:rsidRDefault="0009241A" w:rsidP="005B7794">
      <w:pPr>
        <w:rPr>
          <w:sz w:val="18"/>
          <w:szCs w:val="18"/>
        </w:rPr>
      </w:pPr>
    </w:p>
    <w:p w14:paraId="4AED9C90" w14:textId="77777777" w:rsidR="0009241A" w:rsidRPr="00753681" w:rsidRDefault="0009241A" w:rsidP="005B7794">
      <w:pPr>
        <w:rPr>
          <w:sz w:val="18"/>
          <w:szCs w:val="18"/>
        </w:rPr>
      </w:pPr>
    </w:p>
    <w:p w14:paraId="094D4A91" w14:textId="77777777" w:rsidR="0009241A" w:rsidRPr="00753681" w:rsidRDefault="0009241A" w:rsidP="005B7794">
      <w:pPr>
        <w:rPr>
          <w:sz w:val="18"/>
          <w:szCs w:val="18"/>
        </w:rPr>
      </w:pPr>
    </w:p>
    <w:p w14:paraId="747B648E" w14:textId="77777777" w:rsidR="006945AE" w:rsidRDefault="0009241A" w:rsidP="006945AE">
      <w:pPr>
        <w:rPr>
          <w:sz w:val="18"/>
          <w:szCs w:val="18"/>
        </w:rPr>
      </w:pPr>
      <w:r w:rsidRPr="00753681">
        <w:rPr>
          <w:sz w:val="18"/>
          <w:szCs w:val="18"/>
        </w:rPr>
        <w:t>3) Why do you think the EPA isn’t regulating nitrogen and phosphorous levels?</w:t>
      </w:r>
    </w:p>
    <w:p w14:paraId="263FB603" w14:textId="77777777" w:rsidR="00753681" w:rsidRDefault="00753681" w:rsidP="006945AE">
      <w:pPr>
        <w:rPr>
          <w:sz w:val="18"/>
          <w:szCs w:val="18"/>
        </w:rPr>
      </w:pPr>
    </w:p>
    <w:p w14:paraId="75366934" w14:textId="77777777" w:rsidR="00753681" w:rsidRDefault="00753681" w:rsidP="006945AE">
      <w:pPr>
        <w:rPr>
          <w:sz w:val="18"/>
          <w:szCs w:val="18"/>
        </w:rPr>
      </w:pPr>
    </w:p>
    <w:p w14:paraId="436EE11B" w14:textId="77777777" w:rsidR="00753681" w:rsidRDefault="00753681" w:rsidP="006945AE">
      <w:pPr>
        <w:rPr>
          <w:sz w:val="18"/>
          <w:szCs w:val="18"/>
        </w:rPr>
      </w:pPr>
    </w:p>
    <w:p w14:paraId="0FBEB455" w14:textId="77777777" w:rsidR="00753681" w:rsidRDefault="00753681" w:rsidP="006945AE">
      <w:pPr>
        <w:rPr>
          <w:sz w:val="18"/>
          <w:szCs w:val="18"/>
        </w:rPr>
      </w:pPr>
    </w:p>
    <w:p w14:paraId="2218ED75" w14:textId="77777777" w:rsidR="00753681" w:rsidRDefault="00753681" w:rsidP="006945AE">
      <w:pPr>
        <w:rPr>
          <w:sz w:val="18"/>
          <w:szCs w:val="18"/>
        </w:rPr>
      </w:pPr>
    </w:p>
    <w:p w14:paraId="315A6D68" w14:textId="77777777" w:rsidR="00753681" w:rsidRDefault="00753681" w:rsidP="006945AE">
      <w:pPr>
        <w:rPr>
          <w:sz w:val="18"/>
          <w:szCs w:val="18"/>
        </w:rPr>
      </w:pPr>
    </w:p>
    <w:p w14:paraId="5043BF9C" w14:textId="77777777" w:rsidR="00753681" w:rsidRDefault="00753681" w:rsidP="006945AE">
      <w:pPr>
        <w:jc w:val="center"/>
        <w:rPr>
          <w:sz w:val="18"/>
          <w:szCs w:val="18"/>
        </w:rPr>
      </w:pPr>
    </w:p>
    <w:p w14:paraId="7F548CB8" w14:textId="3CCDA18F" w:rsidR="006945AE" w:rsidRPr="008B54AF" w:rsidRDefault="006945AE" w:rsidP="006945AE">
      <w:pPr>
        <w:jc w:val="center"/>
        <w:rPr>
          <w:sz w:val="28"/>
          <w:szCs w:val="28"/>
        </w:rPr>
      </w:pPr>
      <w:r w:rsidRPr="008B54AF">
        <w:rPr>
          <w:rFonts w:ascii="Times" w:eastAsia="Times New Roman" w:hAnsi="Times" w:cs="Times New Roman"/>
          <w:b/>
          <w:bCs/>
          <w:kern w:val="36"/>
          <w:sz w:val="28"/>
          <w:szCs w:val="28"/>
        </w:rPr>
        <w:lastRenderedPageBreak/>
        <w:t>Gulf of Mexico 'dead zone' is the size of Connecticut</w:t>
      </w:r>
    </w:p>
    <w:p w14:paraId="69A76A8C" w14:textId="77777777" w:rsidR="006945AE" w:rsidRPr="00EB10F3" w:rsidRDefault="006945AE" w:rsidP="006945AE">
      <w:pPr>
        <w:spacing w:before="100" w:beforeAutospacing="1" w:after="100" w:afterAutospacing="1"/>
        <w:rPr>
          <w:rFonts w:ascii="Times" w:hAnsi="Times" w:cs="Times New Roman"/>
          <w:sz w:val="18"/>
          <w:szCs w:val="18"/>
        </w:rPr>
      </w:pPr>
      <w:r w:rsidRPr="00EB10F3">
        <w:rPr>
          <w:rFonts w:ascii="Times" w:hAnsi="Times" w:cs="Times New Roman"/>
          <w:sz w:val="18"/>
          <w:szCs w:val="18"/>
        </w:rPr>
        <w:t xml:space="preserve">By </w:t>
      </w:r>
      <w:proofErr w:type="spellStart"/>
      <w:r w:rsidRPr="00EB10F3">
        <w:rPr>
          <w:rFonts w:ascii="Times" w:hAnsi="Times" w:cs="Times New Roman"/>
          <w:sz w:val="18"/>
          <w:szCs w:val="18"/>
        </w:rPr>
        <w:t>Melodi</w:t>
      </w:r>
      <w:proofErr w:type="spellEnd"/>
      <w:r w:rsidRPr="00EB10F3">
        <w:rPr>
          <w:rFonts w:ascii="Times" w:hAnsi="Times" w:cs="Times New Roman"/>
          <w:sz w:val="18"/>
          <w:szCs w:val="18"/>
        </w:rPr>
        <w:t xml:space="preserve"> Smith and Jason Hanna, CNN</w:t>
      </w:r>
    </w:p>
    <w:p w14:paraId="56AF78DD" w14:textId="0559362A" w:rsidR="006945AE" w:rsidRPr="00EB10F3" w:rsidRDefault="006945AE" w:rsidP="006945AE">
      <w:pPr>
        <w:spacing w:before="100" w:beforeAutospacing="1" w:after="100" w:afterAutospacing="1"/>
        <w:rPr>
          <w:rFonts w:ascii="Times" w:hAnsi="Times" w:cs="Times New Roman"/>
          <w:sz w:val="18"/>
          <w:szCs w:val="18"/>
        </w:rPr>
      </w:pPr>
      <w:r w:rsidRPr="00EB10F3">
        <w:rPr>
          <w:rFonts w:ascii="Times" w:hAnsi="Times" w:cs="Times New Roman"/>
          <w:sz w:val="18"/>
          <w:szCs w:val="18"/>
        </w:rPr>
        <w:t>August 5, 2014</w:t>
      </w:r>
    </w:p>
    <w:p w14:paraId="7850A338" w14:textId="77777777" w:rsidR="001D7CF9" w:rsidRPr="00EB10F3" w:rsidRDefault="001D7CF9" w:rsidP="001D7CF9">
      <w:pPr>
        <w:pStyle w:val="zn-bodyparagraph"/>
        <w:rPr>
          <w:rFonts w:cs="Times New Roman"/>
          <w:sz w:val="18"/>
          <w:szCs w:val="18"/>
        </w:rPr>
      </w:pPr>
      <w:r w:rsidRPr="00EB10F3">
        <w:rPr>
          <w:rFonts w:eastAsia="Times New Roman" w:cs="Times New Roman"/>
          <w:sz w:val="18"/>
          <w:szCs w:val="18"/>
        </w:rPr>
        <w:t xml:space="preserve">A dead zone in the Gulf of Mexico has formed west of the Mississippi River delta.  </w:t>
      </w:r>
      <w:r w:rsidRPr="00EB10F3">
        <w:rPr>
          <w:rFonts w:cs="Times New Roman"/>
          <w:sz w:val="18"/>
          <w:szCs w:val="18"/>
        </w:rPr>
        <w:t>The Gulf of Mexico's annual spring-summer "dead zone" is the size of Connecticut -- slightly smaller now than in recent years but nowhere near the trim scientists had sought, researchers said this week.</w:t>
      </w:r>
    </w:p>
    <w:p w14:paraId="48928092" w14:textId="77777777" w:rsidR="001D7CF9" w:rsidRPr="00EB10F3" w:rsidRDefault="001D7CF9" w:rsidP="001D7CF9">
      <w:pPr>
        <w:pStyle w:val="zn-bodyparagraph"/>
        <w:rPr>
          <w:rFonts w:cs="Times New Roman"/>
          <w:sz w:val="18"/>
          <w:szCs w:val="18"/>
        </w:rPr>
      </w:pPr>
      <w:r w:rsidRPr="00EB10F3">
        <w:rPr>
          <w:rFonts w:cs="Times New Roman"/>
          <w:sz w:val="18"/>
          <w:szCs w:val="18"/>
        </w:rPr>
        <w:t>Scientists' annual survey found an area of 5,052 square miles of "low oxygen water," or hypoxia, off much of Louisiana's coast and part of Texas, the National Oceanic and Atmospheric Administration said Monday.</w:t>
      </w:r>
    </w:p>
    <w:p w14:paraId="595BA28E" w14:textId="77777777" w:rsidR="001D7CF9" w:rsidRPr="00EB10F3" w:rsidRDefault="001D7CF9" w:rsidP="001D7CF9">
      <w:pPr>
        <w:pStyle w:val="zn-bodyparagraph"/>
        <w:rPr>
          <w:rFonts w:cs="Times New Roman"/>
          <w:sz w:val="18"/>
          <w:szCs w:val="18"/>
        </w:rPr>
      </w:pPr>
      <w:r w:rsidRPr="00EB10F3">
        <w:rPr>
          <w:rFonts w:cs="Times New Roman"/>
          <w:sz w:val="18"/>
          <w:szCs w:val="18"/>
        </w:rPr>
        <w:t xml:space="preserve">The zone is formed by nutrients that wash into the Gulf's waters -- largely agriculture fertilizer and wastewater coming down the Mississippi River. These boost algae blooms that suck up the oxygen in deep water, according to NOAA and the U.S. Geological Survey. </w:t>
      </w:r>
    </w:p>
    <w:p w14:paraId="2B78076A" w14:textId="77777777" w:rsidR="001D7CF9" w:rsidRPr="00EB10F3" w:rsidRDefault="001D7CF9" w:rsidP="001D7CF9">
      <w:pPr>
        <w:pStyle w:val="zn-bodyparagraph"/>
        <w:rPr>
          <w:rFonts w:cs="Times New Roman"/>
          <w:sz w:val="18"/>
          <w:szCs w:val="18"/>
        </w:rPr>
      </w:pPr>
      <w:r w:rsidRPr="00EB10F3">
        <w:rPr>
          <w:rFonts w:cs="Times New Roman"/>
          <w:sz w:val="18"/>
          <w:szCs w:val="18"/>
        </w:rPr>
        <w:t xml:space="preserve">Marine life struggles to find enough oxygen to survive within the zone. </w:t>
      </w:r>
    </w:p>
    <w:p w14:paraId="36C14194" w14:textId="77777777" w:rsidR="001D7CF9" w:rsidRPr="00EB10F3" w:rsidRDefault="001D7CF9" w:rsidP="001D7CF9">
      <w:pPr>
        <w:pStyle w:val="zn-bodyparagraph"/>
        <w:rPr>
          <w:rFonts w:cs="Times New Roman"/>
          <w:sz w:val="18"/>
          <w:szCs w:val="18"/>
        </w:rPr>
      </w:pPr>
      <w:r w:rsidRPr="00EB10F3">
        <w:rPr>
          <w:rFonts w:cs="Times New Roman"/>
          <w:sz w:val="18"/>
          <w:szCs w:val="18"/>
        </w:rPr>
        <w:t>Fish and shrimp can migrate to areas with oxygen-rich water, but some life forms in the deep water and ocean floor -- including those that serve as food for the fish and shrimp -- can't get out of the zone and eventually die.</w:t>
      </w:r>
    </w:p>
    <w:p w14:paraId="2EFD9CF7" w14:textId="77777777" w:rsidR="001D7CF9" w:rsidRPr="00EB10F3" w:rsidRDefault="001D7CF9" w:rsidP="001D7CF9">
      <w:pPr>
        <w:pStyle w:val="zn-bodyparagraph"/>
        <w:rPr>
          <w:rFonts w:cs="Times New Roman"/>
          <w:sz w:val="18"/>
          <w:szCs w:val="18"/>
        </w:rPr>
      </w:pPr>
      <w:r w:rsidRPr="00EB10F3">
        <w:rPr>
          <w:rFonts w:cs="Times New Roman"/>
          <w:sz w:val="18"/>
          <w:szCs w:val="18"/>
        </w:rPr>
        <w:t xml:space="preserve">That hurts biodiversity and makes food hard to come by for the fish and shrimp when they return, said the survey's leader, Nancy </w:t>
      </w:r>
      <w:proofErr w:type="spellStart"/>
      <w:r w:rsidRPr="00EB10F3">
        <w:rPr>
          <w:rFonts w:cs="Times New Roman"/>
          <w:sz w:val="18"/>
          <w:szCs w:val="18"/>
        </w:rPr>
        <w:t>Rabalais</w:t>
      </w:r>
      <w:proofErr w:type="spellEnd"/>
      <w:r w:rsidRPr="00EB10F3">
        <w:rPr>
          <w:rFonts w:cs="Times New Roman"/>
          <w:sz w:val="18"/>
          <w:szCs w:val="18"/>
        </w:rPr>
        <w:t>, executive director of the Louisiana Universities Marine Consortium.</w:t>
      </w:r>
    </w:p>
    <w:p w14:paraId="48518287" w14:textId="77777777" w:rsidR="001D7CF9" w:rsidRPr="00EB10F3" w:rsidRDefault="001D7CF9" w:rsidP="001D7CF9">
      <w:pPr>
        <w:pStyle w:val="zn-bodyparagraph"/>
        <w:rPr>
          <w:rFonts w:cs="Times New Roman"/>
          <w:sz w:val="18"/>
          <w:szCs w:val="18"/>
        </w:rPr>
      </w:pPr>
      <w:r w:rsidRPr="00EB10F3">
        <w:rPr>
          <w:rFonts w:cs="Times New Roman"/>
          <w:sz w:val="18"/>
          <w:szCs w:val="18"/>
        </w:rPr>
        <w:t xml:space="preserve">Scientists first discovered a dead zone in these waters in 1972, and it has appeared ever spring and summer since, with varying sizes. </w:t>
      </w:r>
    </w:p>
    <w:p w14:paraId="7A0943DD" w14:textId="77777777" w:rsidR="001D7CF9" w:rsidRPr="00EB10F3" w:rsidRDefault="001D7CF9" w:rsidP="001D7CF9">
      <w:pPr>
        <w:pStyle w:val="zn-bodyparagraph"/>
        <w:rPr>
          <w:rFonts w:cs="Times New Roman"/>
          <w:sz w:val="18"/>
          <w:szCs w:val="18"/>
        </w:rPr>
      </w:pPr>
      <w:r w:rsidRPr="00EB10F3">
        <w:rPr>
          <w:rFonts w:cs="Times New Roman"/>
          <w:sz w:val="18"/>
          <w:szCs w:val="18"/>
        </w:rPr>
        <w:t>This year's dead zone, measured from July 27 to August 2, is smaller than the five-year average of 5,550 square miles, and well under 2002's record 8,481 square miles.</w:t>
      </w:r>
    </w:p>
    <w:p w14:paraId="507D78C9" w14:textId="77777777" w:rsidR="001D7CF9" w:rsidRPr="00EB10F3" w:rsidRDefault="001D7CF9" w:rsidP="001D7CF9">
      <w:pPr>
        <w:pStyle w:val="zn-bodyparagraph"/>
        <w:rPr>
          <w:rFonts w:cs="Times New Roman"/>
          <w:sz w:val="18"/>
          <w:szCs w:val="18"/>
        </w:rPr>
      </w:pPr>
      <w:r w:rsidRPr="00EB10F3">
        <w:rPr>
          <w:rFonts w:cs="Times New Roman"/>
          <w:sz w:val="18"/>
          <w:szCs w:val="18"/>
        </w:rPr>
        <w:t xml:space="preserve">But scientists had set a goal of reducing the zone to 1,900 square miles by 2015 -- and this year's measurement likely means that target won't be met, </w:t>
      </w:r>
      <w:proofErr w:type="spellStart"/>
      <w:r w:rsidRPr="00EB10F3">
        <w:rPr>
          <w:rFonts w:cs="Times New Roman"/>
          <w:sz w:val="18"/>
          <w:szCs w:val="18"/>
        </w:rPr>
        <w:t>Rabalais</w:t>
      </w:r>
      <w:proofErr w:type="spellEnd"/>
      <w:r w:rsidRPr="00EB10F3">
        <w:rPr>
          <w:rFonts w:cs="Times New Roman"/>
          <w:sz w:val="18"/>
          <w:szCs w:val="18"/>
        </w:rPr>
        <w:t xml:space="preserve"> said.</w:t>
      </w:r>
    </w:p>
    <w:p w14:paraId="5E048B2B" w14:textId="77777777" w:rsidR="001D7CF9" w:rsidRPr="00EB10F3" w:rsidRDefault="001D7CF9" w:rsidP="001D7CF9">
      <w:pPr>
        <w:pStyle w:val="zn-bodyparagraph"/>
        <w:rPr>
          <w:rFonts w:cs="Times New Roman"/>
          <w:sz w:val="18"/>
          <w:szCs w:val="18"/>
        </w:rPr>
      </w:pPr>
      <w:r w:rsidRPr="00EB10F3">
        <w:rPr>
          <w:rFonts w:cs="Times New Roman"/>
          <w:sz w:val="18"/>
          <w:szCs w:val="18"/>
        </w:rPr>
        <w:t>"The average we're targeting against is three times the goal. ... There hasn't been any progress in reaching that goal," she said.</w:t>
      </w:r>
    </w:p>
    <w:p w14:paraId="6F5BD1E0" w14:textId="77777777" w:rsidR="001D7CF9" w:rsidRPr="00EB10F3" w:rsidRDefault="001D7CF9" w:rsidP="001D7CF9">
      <w:pPr>
        <w:pStyle w:val="zn-bodyparagraph"/>
        <w:rPr>
          <w:rFonts w:cs="Times New Roman"/>
          <w:sz w:val="18"/>
          <w:szCs w:val="18"/>
        </w:rPr>
      </w:pPr>
      <w:r w:rsidRPr="00EB10F3">
        <w:rPr>
          <w:rFonts w:cs="Times New Roman"/>
          <w:sz w:val="18"/>
          <w:szCs w:val="18"/>
        </w:rPr>
        <w:t>Ways to shrink the zone, she said, would include changing agricultural practices, including the timing of fertilization -- ideas that have worked well on the small scale but not, so far, on the large.</w:t>
      </w:r>
    </w:p>
    <w:p w14:paraId="371A5C19" w14:textId="77777777" w:rsidR="00EB10F3" w:rsidRPr="00EB10F3" w:rsidRDefault="00EB10F3" w:rsidP="00EB10F3">
      <w:pPr>
        <w:pStyle w:val="zn-bodyparagraph"/>
        <w:rPr>
          <w:rFonts w:cs="Times New Roman"/>
          <w:sz w:val="18"/>
          <w:szCs w:val="18"/>
        </w:rPr>
      </w:pPr>
      <w:r w:rsidRPr="00EB10F3">
        <w:rPr>
          <w:rFonts w:cs="Times New Roman"/>
          <w:sz w:val="18"/>
          <w:szCs w:val="18"/>
        </w:rPr>
        <w:t xml:space="preserve">"The number of dead zones throughout the world has been increasing in the last several decades and currently totals over 550," </w:t>
      </w:r>
      <w:proofErr w:type="spellStart"/>
      <w:r w:rsidRPr="00EB10F3">
        <w:rPr>
          <w:rFonts w:cs="Times New Roman"/>
          <w:sz w:val="18"/>
          <w:szCs w:val="18"/>
        </w:rPr>
        <w:t>Rabalais</w:t>
      </w:r>
      <w:proofErr w:type="spellEnd"/>
      <w:r w:rsidRPr="00EB10F3">
        <w:rPr>
          <w:rFonts w:cs="Times New Roman"/>
          <w:sz w:val="18"/>
          <w:szCs w:val="18"/>
        </w:rPr>
        <w:t xml:space="preserve"> said.</w:t>
      </w:r>
    </w:p>
    <w:p w14:paraId="6297CE4F" w14:textId="45DB5298" w:rsidR="006945AE" w:rsidRDefault="00EB10F3" w:rsidP="00EB10F3">
      <w:pPr>
        <w:pStyle w:val="zn-bodyparagraph"/>
        <w:rPr>
          <w:rFonts w:cs="Times New Roman"/>
          <w:sz w:val="18"/>
          <w:szCs w:val="18"/>
        </w:rPr>
      </w:pPr>
      <w:r w:rsidRPr="00EB10F3">
        <w:rPr>
          <w:rFonts w:cs="Times New Roman"/>
          <w:sz w:val="18"/>
          <w:szCs w:val="18"/>
        </w:rPr>
        <w:t xml:space="preserve">Dead zones amount to an expensive hit for America's fishing industry. </w:t>
      </w:r>
      <w:r w:rsidRPr="00EB10F3">
        <w:rPr>
          <w:rFonts w:cs="Times New Roman"/>
          <w:sz w:val="18"/>
          <w:szCs w:val="18"/>
        </w:rPr>
        <w:fldChar w:fldCharType="begin"/>
      </w:r>
      <w:r w:rsidRPr="00EB10F3">
        <w:rPr>
          <w:rFonts w:cs="Times New Roman"/>
          <w:sz w:val="18"/>
          <w:szCs w:val="18"/>
        </w:rPr>
        <w:instrText xml:space="preserve"> HYPERLINK "http://oceanservice.noaa.gov/hazards/hab/" \t "_blank" </w:instrText>
      </w:r>
      <w:r w:rsidRPr="00EB10F3">
        <w:rPr>
          <w:rFonts w:cs="Times New Roman"/>
          <w:sz w:val="18"/>
          <w:szCs w:val="18"/>
        </w:rPr>
        <w:fldChar w:fldCharType="separate"/>
      </w:r>
      <w:r w:rsidRPr="00EB10F3">
        <w:rPr>
          <w:rStyle w:val="Hyperlink"/>
          <w:rFonts w:cs="Times New Roman"/>
          <w:sz w:val="18"/>
          <w:szCs w:val="18"/>
        </w:rPr>
        <w:t>NOAA estimates</w:t>
      </w:r>
      <w:r w:rsidRPr="00EB10F3">
        <w:rPr>
          <w:rFonts w:cs="Times New Roman"/>
          <w:sz w:val="18"/>
          <w:szCs w:val="18"/>
        </w:rPr>
        <w:fldChar w:fldCharType="end"/>
      </w:r>
      <w:r w:rsidRPr="00EB10F3">
        <w:rPr>
          <w:rFonts w:cs="Times New Roman"/>
          <w:sz w:val="18"/>
          <w:szCs w:val="18"/>
        </w:rPr>
        <w:t xml:space="preserve"> the annual cost of algae blooms to U.S. seafood and tourism industries at $82 million or more.</w:t>
      </w:r>
    </w:p>
    <w:p w14:paraId="7764D75E" w14:textId="3A403A16" w:rsidR="008B54AF" w:rsidRPr="00EB10F3" w:rsidRDefault="008B54AF" w:rsidP="00EB10F3">
      <w:pPr>
        <w:pStyle w:val="zn-bodyparagraph"/>
        <w:rPr>
          <w:rFonts w:cs="Times New Roman"/>
          <w:sz w:val="18"/>
          <w:szCs w:val="18"/>
        </w:rPr>
      </w:pPr>
      <w:r>
        <w:rPr>
          <w:rFonts w:cs="Times New Roman"/>
          <w:sz w:val="18"/>
          <w:szCs w:val="18"/>
        </w:rPr>
        <w:t>1) How does the dead zone in the Gulf of Mexico negatively affect the economy?</w:t>
      </w:r>
    </w:p>
    <w:sectPr w:rsidR="008B54AF" w:rsidRPr="00EB10F3" w:rsidSect="000259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1A"/>
    <w:rsid w:val="00025992"/>
    <w:rsid w:val="0009241A"/>
    <w:rsid w:val="001D7CF9"/>
    <w:rsid w:val="00255E1A"/>
    <w:rsid w:val="005B7794"/>
    <w:rsid w:val="005E29E8"/>
    <w:rsid w:val="006945AE"/>
    <w:rsid w:val="00753681"/>
    <w:rsid w:val="00862B11"/>
    <w:rsid w:val="008B54AF"/>
    <w:rsid w:val="00911921"/>
    <w:rsid w:val="009C4836"/>
    <w:rsid w:val="00B8027F"/>
    <w:rsid w:val="00BB382B"/>
    <w:rsid w:val="00D33F60"/>
    <w:rsid w:val="00D96224"/>
    <w:rsid w:val="00E271D9"/>
    <w:rsid w:val="00EB10F3"/>
    <w:rsid w:val="00F13268"/>
    <w:rsid w:val="00FD75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886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6945A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45AE"/>
    <w:rPr>
      <w:rFonts w:ascii="Times" w:hAnsi="Times"/>
      <w:b/>
      <w:bCs/>
      <w:kern w:val="36"/>
      <w:sz w:val="48"/>
      <w:szCs w:val="48"/>
      <w:lang w:val="en-US"/>
    </w:rPr>
  </w:style>
  <w:style w:type="paragraph" w:customStyle="1" w:styleId="metadatabyline">
    <w:name w:val="metadata__byline"/>
    <w:basedOn w:val="Normal"/>
    <w:rsid w:val="006945AE"/>
    <w:pPr>
      <w:spacing w:before="100" w:beforeAutospacing="1" w:after="100" w:afterAutospacing="1"/>
    </w:pPr>
    <w:rPr>
      <w:rFonts w:ascii="Times" w:hAnsi="Times"/>
      <w:sz w:val="20"/>
      <w:szCs w:val="20"/>
    </w:rPr>
  </w:style>
  <w:style w:type="character" w:customStyle="1" w:styleId="metadatabylineauthor">
    <w:name w:val="metadata__byline__author"/>
    <w:basedOn w:val="DefaultParagraphFont"/>
    <w:rsid w:val="006945AE"/>
  </w:style>
  <w:style w:type="paragraph" w:customStyle="1" w:styleId="update-time">
    <w:name w:val="update-time"/>
    <w:basedOn w:val="Normal"/>
    <w:rsid w:val="006945AE"/>
    <w:pPr>
      <w:spacing w:before="100" w:beforeAutospacing="1" w:after="100" w:afterAutospacing="1"/>
    </w:pPr>
    <w:rPr>
      <w:rFonts w:ascii="Times" w:hAnsi="Times"/>
      <w:sz w:val="20"/>
      <w:szCs w:val="20"/>
    </w:rPr>
  </w:style>
  <w:style w:type="paragraph" w:customStyle="1" w:styleId="zn-bodyparagraph">
    <w:name w:val="zn-body__paragraph"/>
    <w:basedOn w:val="Normal"/>
    <w:rsid w:val="001D7CF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B10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6945A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45AE"/>
    <w:rPr>
      <w:rFonts w:ascii="Times" w:hAnsi="Times"/>
      <w:b/>
      <w:bCs/>
      <w:kern w:val="36"/>
      <w:sz w:val="48"/>
      <w:szCs w:val="48"/>
      <w:lang w:val="en-US"/>
    </w:rPr>
  </w:style>
  <w:style w:type="paragraph" w:customStyle="1" w:styleId="metadatabyline">
    <w:name w:val="metadata__byline"/>
    <w:basedOn w:val="Normal"/>
    <w:rsid w:val="006945AE"/>
    <w:pPr>
      <w:spacing w:before="100" w:beforeAutospacing="1" w:after="100" w:afterAutospacing="1"/>
    </w:pPr>
    <w:rPr>
      <w:rFonts w:ascii="Times" w:hAnsi="Times"/>
      <w:sz w:val="20"/>
      <w:szCs w:val="20"/>
    </w:rPr>
  </w:style>
  <w:style w:type="character" w:customStyle="1" w:styleId="metadatabylineauthor">
    <w:name w:val="metadata__byline__author"/>
    <w:basedOn w:val="DefaultParagraphFont"/>
    <w:rsid w:val="006945AE"/>
  </w:style>
  <w:style w:type="paragraph" w:customStyle="1" w:styleId="update-time">
    <w:name w:val="update-time"/>
    <w:basedOn w:val="Normal"/>
    <w:rsid w:val="006945AE"/>
    <w:pPr>
      <w:spacing w:before="100" w:beforeAutospacing="1" w:after="100" w:afterAutospacing="1"/>
    </w:pPr>
    <w:rPr>
      <w:rFonts w:ascii="Times" w:hAnsi="Times"/>
      <w:sz w:val="20"/>
      <w:szCs w:val="20"/>
    </w:rPr>
  </w:style>
  <w:style w:type="paragraph" w:customStyle="1" w:styleId="zn-bodyparagraph">
    <w:name w:val="zn-body__paragraph"/>
    <w:basedOn w:val="Normal"/>
    <w:rsid w:val="001D7CF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B1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0460">
      <w:bodyDiv w:val="1"/>
      <w:marLeft w:val="0"/>
      <w:marRight w:val="0"/>
      <w:marTop w:val="0"/>
      <w:marBottom w:val="0"/>
      <w:divBdr>
        <w:top w:val="none" w:sz="0" w:space="0" w:color="auto"/>
        <w:left w:val="none" w:sz="0" w:space="0" w:color="auto"/>
        <w:bottom w:val="none" w:sz="0" w:space="0" w:color="auto"/>
        <w:right w:val="none" w:sz="0" w:space="0" w:color="auto"/>
      </w:divBdr>
    </w:div>
    <w:div w:id="423840546">
      <w:bodyDiv w:val="1"/>
      <w:marLeft w:val="0"/>
      <w:marRight w:val="0"/>
      <w:marTop w:val="0"/>
      <w:marBottom w:val="0"/>
      <w:divBdr>
        <w:top w:val="none" w:sz="0" w:space="0" w:color="auto"/>
        <w:left w:val="none" w:sz="0" w:space="0" w:color="auto"/>
        <w:bottom w:val="none" w:sz="0" w:space="0" w:color="auto"/>
        <w:right w:val="none" w:sz="0" w:space="0" w:color="auto"/>
      </w:divBdr>
    </w:div>
    <w:div w:id="500506142">
      <w:bodyDiv w:val="1"/>
      <w:marLeft w:val="0"/>
      <w:marRight w:val="0"/>
      <w:marTop w:val="0"/>
      <w:marBottom w:val="0"/>
      <w:divBdr>
        <w:top w:val="none" w:sz="0" w:space="0" w:color="auto"/>
        <w:left w:val="none" w:sz="0" w:space="0" w:color="auto"/>
        <w:bottom w:val="none" w:sz="0" w:space="0" w:color="auto"/>
        <w:right w:val="none" w:sz="0" w:space="0" w:color="auto"/>
      </w:divBdr>
    </w:div>
    <w:div w:id="1080524195">
      <w:bodyDiv w:val="1"/>
      <w:marLeft w:val="0"/>
      <w:marRight w:val="0"/>
      <w:marTop w:val="0"/>
      <w:marBottom w:val="0"/>
      <w:divBdr>
        <w:top w:val="none" w:sz="0" w:space="0" w:color="auto"/>
        <w:left w:val="none" w:sz="0" w:space="0" w:color="auto"/>
        <w:bottom w:val="none" w:sz="0" w:space="0" w:color="auto"/>
        <w:right w:val="none" w:sz="0" w:space="0" w:color="auto"/>
      </w:divBdr>
    </w:div>
    <w:div w:id="1449816566">
      <w:bodyDiv w:val="1"/>
      <w:marLeft w:val="0"/>
      <w:marRight w:val="0"/>
      <w:marTop w:val="0"/>
      <w:marBottom w:val="0"/>
      <w:divBdr>
        <w:top w:val="none" w:sz="0" w:space="0" w:color="auto"/>
        <w:left w:val="none" w:sz="0" w:space="0" w:color="auto"/>
        <w:bottom w:val="none" w:sz="0" w:space="0" w:color="auto"/>
        <w:right w:val="none" w:sz="0" w:space="0" w:color="auto"/>
      </w:divBdr>
      <w:divsChild>
        <w:div w:id="1012874803">
          <w:marLeft w:val="0"/>
          <w:marRight w:val="0"/>
          <w:marTop w:val="0"/>
          <w:marBottom w:val="0"/>
          <w:divBdr>
            <w:top w:val="none" w:sz="0" w:space="0" w:color="auto"/>
            <w:left w:val="none" w:sz="0" w:space="0" w:color="auto"/>
            <w:bottom w:val="none" w:sz="0" w:space="0" w:color="auto"/>
            <w:right w:val="none" w:sz="0" w:space="0" w:color="auto"/>
          </w:divBdr>
        </w:div>
      </w:divsChild>
    </w:div>
    <w:div w:id="1508402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Macintosh Word</Application>
  <DocSecurity>0</DocSecurity>
  <Lines>23</Lines>
  <Paragraphs>6</Paragraphs>
  <ScaleCrop>false</ScaleCrop>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2016-04-11T00:50:00Z</dcterms:created>
  <dcterms:modified xsi:type="dcterms:W3CDTF">2016-04-11T00:50:00Z</dcterms:modified>
</cp:coreProperties>
</file>